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黑体" w:hAnsi="黑体" w:eastAsia="黑体" w:cs="Times New Roman"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</w:rPr>
        <w:t>4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年浙江省电子信息50家成长性</w:t>
      </w:r>
    </w:p>
    <w:p>
      <w:pPr>
        <w:widowControl/>
        <w:spacing w:line="480" w:lineRule="exact"/>
        <w:jc w:val="center"/>
        <w:outlineLvl w:val="0"/>
        <w:rPr>
          <w:rFonts w:hint="default" w:ascii="Times New Roman" w:hAnsi="Times New Roman"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特色企业申报表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1"/>
        <w:gridCol w:w="2931"/>
        <w:gridCol w:w="888"/>
        <w:gridCol w:w="10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企业名称（盖章）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隶属关系：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法人代表：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 xml:space="preserve">从业人员平均人数：     研发人员 ：                    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企业净资产（万元）：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联系人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Times New Roman"/>
                <w:kern w:val="0"/>
                <w:sz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</w:rPr>
              <w:t>企业经济类型：   国有    集体   私营   中外合资   股份制   与港澳台合资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年营业收入（万元）：       其中：电子产品主营业务收入（万元）：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年利税（万元）：           其中：实现利润（万元）：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专利总数（项）：                      其中：发明专利（项）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年企业研发经费支出（万元）：           全国同行排名或市场占有率：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、20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9、2020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年分别实现营业收入（万元）：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、201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9、2020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年分别实现利润总额（万元）：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主要产品名称：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1.                                       2.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科技创新成果，发展战略调整及社会责任贡献等：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一、科技创新成果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二、发展战略调整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三、社会责任贡献和其他发展亮点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1"/>
                <w:lang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通讯地址：                                       邮政编码：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公司网址：                               E---mail: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统计部门负责人：            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统计员姓名：            所在部门：              传真电话：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90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企业集团所含主要子公司或控股公司名称：（控股公司需注明控股比例）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1.                                  3.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2.                                  4.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0" w:hRule="atLeast"/>
          <w:jc w:val="center"/>
        </w:trPr>
        <w:tc>
          <w:tcPr>
            <w:tcW w:w="4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各市经信部门初审意见（盖章）：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省经济和信息化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lang w:eastAsia="zh-CN"/>
              </w:rPr>
              <w:t>厅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审查意见（盖章）：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EF663D-778B-4496-AF12-E79DB08CEB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171D35E-AEA5-4B3B-AEEF-E11BC00892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25E06A6-EEAB-4FCA-8292-32F539D1AB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3F19048-52A6-4C28-A3E3-AD26A6E372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51DB6467"/>
    <w:rsid w:val="51D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2022-05-09T04:30:00Z</dcterms:created>
  <dc:creator>李娜</dc:creator>
  <cp:lastModifiedBy>李娜</cp:lastModifiedBy>
  <dcterms:modified xsi:type="dcterms:W3CDTF">2022-05-09T04:31:33Z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BE3978C744C94CE98416A784ACD66691</vt:lpwstr>
  </property>
</Properties>
</file>