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widowControl w:val="0"/>
        <w:numPr>
          <w:ilvl w:val="0"/>
          <w:numId w:val="0"/>
        </w:numPr>
        <w:spacing w:line="640" w:lineRule="exact"/>
        <w:jc w:val="center"/>
        <w:rPr>
          <w:rFonts w:hint="eastAsia" w:ascii="黑体" w:hAnsi="黑体" w:eastAsia="黑体" w:cs="黑体"/>
          <w:b w:val="0"/>
          <w:bCs w:val="0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浙江省2021年度生产制造方式转型示范项目清单</w:t>
      </w:r>
      <w:bookmarkEnd w:id="0"/>
    </w:p>
    <w:tbl>
      <w:tblPr>
        <w:tblStyle w:val="5"/>
        <w:tblW w:w="0" w:type="auto"/>
        <w:tblInd w:w="-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113"/>
        <w:gridCol w:w="1100"/>
        <w:gridCol w:w="1534"/>
        <w:gridCol w:w="880"/>
        <w:gridCol w:w="900"/>
        <w:gridCol w:w="980"/>
        <w:gridCol w:w="1090"/>
        <w:gridCol w:w="910"/>
        <w:gridCol w:w="850"/>
        <w:gridCol w:w="882"/>
        <w:gridCol w:w="991"/>
        <w:gridCol w:w="1100"/>
        <w:gridCol w:w="660"/>
        <w:gridCol w:w="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实施企业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建设内容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总投资额（万元）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其中：固定资产投资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所属产业链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改造方向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开工时间（*年*月）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完工时间（*年*月）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当前实施进度（%）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实施成效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项目负责人及联系方式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企业类型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实施地点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1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4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113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98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991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524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113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98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991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524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113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98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991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524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vertAlign w:val="baseline"/>
          <w:lang w:val="en-US" w:eastAsia="zh-CN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210" w:hanging="210" w:hanging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21"/>
          <w:szCs w:val="21"/>
          <w:vertAlign w:val="baseline"/>
          <w:lang w:val="en-US" w:eastAsia="zh-CN"/>
        </w:rPr>
        <w:t>1.所属产业链对应：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vertAlign w:val="baseline"/>
          <w:lang w:val="en-US" w:eastAsia="zh-CN"/>
        </w:rPr>
        <w:t>数字安防</w:t>
      </w:r>
      <w:r>
        <w:rPr>
          <w:rFonts w:hint="eastAsia" w:ascii="仿宋_GB2312" w:hAnsi="仿宋_GB2312" w:cs="仿宋_GB2312"/>
          <w:b w:val="0"/>
          <w:bCs w:val="0"/>
          <w:sz w:val="21"/>
          <w:szCs w:val="21"/>
          <w:vertAlign w:val="baseli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vertAlign w:val="baseline"/>
          <w:lang w:val="en-US" w:eastAsia="zh-CN"/>
        </w:rPr>
        <w:t>集成电路</w:t>
      </w:r>
      <w:r>
        <w:rPr>
          <w:rFonts w:hint="eastAsia" w:ascii="仿宋_GB2312" w:hAnsi="仿宋_GB2312" w:cs="仿宋_GB2312"/>
          <w:b w:val="0"/>
          <w:bCs w:val="0"/>
          <w:sz w:val="21"/>
          <w:szCs w:val="21"/>
          <w:vertAlign w:val="baseli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vertAlign w:val="baseline"/>
          <w:lang w:val="en-US" w:eastAsia="zh-CN"/>
        </w:rPr>
        <w:t>网络通信</w:t>
      </w:r>
      <w:r>
        <w:rPr>
          <w:rFonts w:hint="eastAsia" w:ascii="仿宋_GB2312" w:hAnsi="仿宋_GB2312" w:cs="仿宋_GB2312"/>
          <w:b w:val="0"/>
          <w:bCs w:val="0"/>
          <w:sz w:val="21"/>
          <w:szCs w:val="21"/>
          <w:vertAlign w:val="baseli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vertAlign w:val="baseline"/>
          <w:lang w:val="en-US" w:eastAsia="zh-CN"/>
        </w:rPr>
        <w:t>智能计算</w:t>
      </w:r>
      <w:r>
        <w:rPr>
          <w:rFonts w:hint="eastAsia" w:ascii="仿宋_GB2312" w:hAnsi="仿宋_GB2312" w:cs="仿宋_GB2312"/>
          <w:b w:val="0"/>
          <w:bCs w:val="0"/>
          <w:sz w:val="21"/>
          <w:szCs w:val="21"/>
          <w:vertAlign w:val="baseli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vertAlign w:val="baseline"/>
          <w:lang w:val="en-US" w:eastAsia="zh-CN"/>
        </w:rPr>
        <w:t>生物医药</w:t>
      </w:r>
      <w:r>
        <w:rPr>
          <w:rFonts w:hint="eastAsia" w:ascii="仿宋_GB2312" w:hAnsi="仿宋_GB2312" w:cs="仿宋_GB2312"/>
          <w:b w:val="0"/>
          <w:bCs w:val="0"/>
          <w:sz w:val="21"/>
          <w:szCs w:val="21"/>
          <w:vertAlign w:val="baseli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vertAlign w:val="baseline"/>
          <w:lang w:val="en-US" w:eastAsia="zh-CN"/>
        </w:rPr>
        <w:t>炼化一体化与新材料</w:t>
      </w:r>
      <w:r>
        <w:rPr>
          <w:rFonts w:hint="eastAsia" w:ascii="仿宋_GB2312" w:hAnsi="仿宋_GB2312" w:cs="仿宋_GB2312"/>
          <w:b w:val="0"/>
          <w:bCs w:val="0"/>
          <w:sz w:val="21"/>
          <w:szCs w:val="21"/>
          <w:vertAlign w:val="baseli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vertAlign w:val="baseline"/>
          <w:lang w:val="en-US" w:eastAsia="zh-CN"/>
        </w:rPr>
        <w:t>节能与新能源汽车</w:t>
      </w:r>
      <w:r>
        <w:rPr>
          <w:rFonts w:hint="eastAsia" w:ascii="仿宋_GB2312" w:hAnsi="仿宋_GB2312" w:cs="仿宋_GB2312"/>
          <w:b w:val="0"/>
          <w:bCs w:val="0"/>
          <w:sz w:val="21"/>
          <w:szCs w:val="21"/>
          <w:vertAlign w:val="baseli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vertAlign w:val="baseline"/>
          <w:lang w:val="en-US" w:eastAsia="zh-CN"/>
        </w:rPr>
        <w:t>智能装备</w:t>
      </w:r>
      <w:r>
        <w:rPr>
          <w:rFonts w:hint="eastAsia" w:ascii="仿宋_GB2312" w:hAnsi="仿宋_GB2312" w:cs="仿宋_GB2312"/>
          <w:b w:val="0"/>
          <w:bCs w:val="0"/>
          <w:sz w:val="21"/>
          <w:szCs w:val="21"/>
          <w:vertAlign w:val="baseli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vertAlign w:val="baseline"/>
          <w:lang w:val="en-US" w:eastAsia="zh-CN"/>
        </w:rPr>
        <w:t>智能家居</w:t>
      </w:r>
      <w:r>
        <w:rPr>
          <w:rFonts w:hint="eastAsia" w:ascii="仿宋_GB2312" w:hAnsi="仿宋_GB2312" w:cs="仿宋_GB2312"/>
          <w:b w:val="0"/>
          <w:bCs w:val="0"/>
          <w:sz w:val="21"/>
          <w:szCs w:val="21"/>
          <w:vertAlign w:val="baseli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vertAlign w:val="baseline"/>
          <w:lang w:val="en-US" w:eastAsia="zh-CN"/>
        </w:rPr>
        <w:t>现代纺织</w:t>
      </w:r>
      <w:r>
        <w:rPr>
          <w:rFonts w:hint="eastAsia" w:ascii="仿宋_GB2312" w:hAnsi="仿宋_GB2312" w:cs="仿宋_GB2312"/>
          <w:b w:val="0"/>
          <w:bCs w:val="0"/>
          <w:sz w:val="21"/>
          <w:szCs w:val="21"/>
          <w:vertAlign w:val="baseline"/>
          <w:lang w:val="en-US" w:eastAsia="zh-CN"/>
        </w:rPr>
        <w:t>、公共技术（平台、设施等）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240" w:lineRule="auto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1"/>
          <w:szCs w:val="21"/>
          <w:vertAlign w:val="baseline"/>
          <w:lang w:val="en-US" w:eastAsia="zh-CN" w:bidi="ar-SA"/>
        </w:rPr>
        <w:t>2.改造方向对应：智能化改造、绿色化改造、服务型制造改造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240" w:lineRule="auto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1"/>
          <w:szCs w:val="21"/>
          <w:vertAlign w:val="baseline"/>
          <w:lang w:val="en-US" w:eastAsia="zh-CN" w:bidi="ar-SA"/>
        </w:rPr>
        <w:t>3.当前实施进度：以投资额完成情况为主，适当结合项目形象进度测算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240" w:lineRule="auto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1"/>
          <w:szCs w:val="21"/>
          <w:vertAlign w:val="baseline"/>
          <w:lang w:val="en-US" w:eastAsia="zh-CN" w:bidi="ar-SA"/>
        </w:rPr>
        <w:t>4.实施成效：描述性说明项目实施的经济、社会、生态效益，提出可量化的考核目标（和企业项目表上的相对应）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240" w:lineRule="auto"/>
        <w:ind w:left="0" w:lef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1"/>
          <w:szCs w:val="21"/>
          <w:vertAlign w:val="baseline"/>
          <w:lang w:val="en-US" w:eastAsia="zh-CN" w:bidi="ar-SA"/>
        </w:rPr>
        <w:t>5.企业类型：指雄鹰企业、隐形冠军、单项冠军、企业共同体牵头企业，如不属于以上四者，则填无</w:t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ans CJK SC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Noto Sans CJK SC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altName w:val="AR PL UKai CN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AR PL UKai CN">
    <w:panose1 w:val="02000503000000000000"/>
    <w:charset w:val="86"/>
    <w:family w:val="auto"/>
    <w:pitch w:val="default"/>
    <w:sig w:usb0="A00002FF" w:usb1="3ACFFDFF" w:usb2="00000036" w:usb3="00000000" w:csb0="2016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F3F0D"/>
    <w:rsid w:val="5E6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spacing w:line="480" w:lineRule="auto"/>
      <w:ind w:firstLine="420"/>
    </w:pPr>
    <w:rPr>
      <w:rFonts w:eastAsia="宋体"/>
      <w:szCs w:val="21"/>
    </w:rPr>
  </w:style>
  <w:style w:type="paragraph" w:styleId="3">
    <w:name w:val="Body Text"/>
    <w:basedOn w:val="1"/>
    <w:qFormat/>
    <w:uiPriority w:val="0"/>
    <w:pPr>
      <w:spacing w:after="0" w:afterLines="0"/>
    </w:pPr>
    <w:rPr>
      <w:rFonts w:ascii="Times New Roman" w:hAnsi="Times New Roman" w:eastAsia="宋体" w:cs="Times New Roman"/>
      <w:sz w:val="30"/>
      <w:szCs w:val="22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2020-10-09T14:38:00Z</dcterms:created>
  <dc:creator>flj</dc:creator>
  <cp:lastModifiedBy>flj</cp:lastModifiedBy>
  <dcterms:modified xsi:type="dcterms:W3CDTF">2020-10-09T14:39:30Z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2052-11.1.0.9615</vt:lpwstr>
  </property>
</Properties>
</file>