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46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附件4</w:t>
      </w:r>
    </w:p>
    <w:p>
      <w:pPr>
        <w:pStyle w:val="4"/>
        <w:autoSpaceDN w:val="0"/>
        <w:spacing w:line="4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反馈征求意见采纳情况</w:t>
      </w:r>
      <w:bookmarkEnd w:id="0"/>
    </w:p>
    <w:tbl>
      <w:tblPr>
        <w:tblStyle w:val="2"/>
        <w:tblW w:w="134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64"/>
        <w:gridCol w:w="7117"/>
        <w:gridCol w:w="1575"/>
        <w:gridCol w:w="27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24"/>
                <w:lang w:bidi="ar"/>
              </w:rPr>
              <w:t>单   位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24"/>
                <w:lang w:bidi="ar"/>
              </w:rPr>
              <w:t>修改意见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24"/>
                <w:lang w:bidi="ar"/>
              </w:rPr>
              <w:t>采纳情况</w:t>
            </w:r>
          </w:p>
        </w:tc>
        <w:tc>
          <w:tcPr>
            <w:tcW w:w="2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24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24"/>
                <w:lang w:bidi="ar"/>
              </w:rPr>
              <w:t>主要理由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杭州市经信局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对经信系统部门间办事事项目录（市级）表中，事项办理时限（工作日）应该明确为是市本级所需办理时限。对经信系统部门间办事事项目录（县级）表中，事项办理时限（工作日）也应该明确是县本级办理所需时限。</w:t>
            </w:r>
          </w:p>
          <w:p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2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未采纳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2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子项名称已体现办理层级。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天台县经信局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省重大工业项目申报，天台县一级是报给县发改局，再由发改统一上报省里，系统平台都是在发改，因此牵头部门不是经信，不建议放入县经信局部门间办事事项。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未采纳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2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经征询省委编办意见，事项梳理宜应纳尽纳，办事系统由事项牵头部门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（发改部门）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建设。</w:t>
            </w:r>
          </w:p>
        </w:tc>
      </w:tr>
    </w:tbl>
    <w:p>
      <w:pPr>
        <w:pStyle w:val="4"/>
        <w:autoSpaceDN w:val="0"/>
        <w:spacing w:line="460" w:lineRule="exact"/>
        <w:jc w:val="center"/>
        <w:rPr>
          <w:rFonts w:ascii="仿宋_GB2312" w:eastAsia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32C2C"/>
    <w:rsid w:val="4D7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2019-10-23T01:18:00Z</dcterms:created>
  <dc:creator>高卫东</dc:creator>
  <cp:lastModifiedBy>高卫东</cp:lastModifiedBy>
  <dcterms:modified xsi:type="dcterms:W3CDTF">2019-10-23T01:19:00Z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